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7449C">
      <w:pPr>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pPr>
      <w:bookmarkStart w:id="0" w:name="_GoBack"/>
      <w:r>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t>附件1：</w:t>
      </w:r>
    </w:p>
    <w:bookmarkEnd w:id="0"/>
    <w:p w14:paraId="5311D67C">
      <w:pPr>
        <w:pStyle w:val="2"/>
        <w:spacing w:before="140" w:line="272" w:lineRule="auto"/>
        <w:ind w:left="1552" w:right="87" w:hanging="1506"/>
        <w:jc w:val="both"/>
        <w:outlineLvl w:val="0"/>
        <w:rPr>
          <w:b/>
          <w:bCs/>
          <w:spacing w:val="3"/>
          <w:sz w:val="36"/>
          <w:szCs w:val="36"/>
        </w:rPr>
      </w:pPr>
    </w:p>
    <w:p w14:paraId="077A489C">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bCs/>
          <w:snapToGrid/>
          <w:spacing w:val="-6"/>
          <w:kern w:val="2"/>
          <w:sz w:val="36"/>
          <w:szCs w:val="36"/>
          <w:lang w:val="en-US" w:eastAsia="zh-CN"/>
        </w:rPr>
      </w:pPr>
      <w:r>
        <w:rPr>
          <w:rFonts w:hint="eastAsia" w:ascii="方正小标宋_GBK" w:hAnsi="方正小标宋_GBK" w:eastAsia="方正小标宋_GBK" w:cs="方正小标宋_GBK"/>
          <w:bCs/>
          <w:snapToGrid/>
          <w:spacing w:val="-6"/>
          <w:kern w:val="2"/>
          <w:sz w:val="36"/>
          <w:szCs w:val="36"/>
          <w:lang w:val="en-US" w:eastAsia="zh-CN"/>
        </w:rPr>
        <w:t>2025年湖北江夏实验室临床科研专项资金</w:t>
      </w:r>
    </w:p>
    <w:p w14:paraId="6B89B998">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bCs/>
          <w:snapToGrid/>
          <w:spacing w:val="-6"/>
          <w:kern w:val="2"/>
          <w:sz w:val="36"/>
          <w:szCs w:val="36"/>
          <w:lang w:val="en-US" w:eastAsia="zh-CN"/>
        </w:rPr>
      </w:pPr>
      <w:r>
        <w:rPr>
          <w:rFonts w:hint="eastAsia" w:ascii="方正小标宋_GBK" w:hAnsi="方正小标宋_GBK" w:eastAsia="方正小标宋_GBK" w:cs="方正小标宋_GBK"/>
          <w:bCs/>
          <w:snapToGrid/>
          <w:spacing w:val="-6"/>
          <w:kern w:val="2"/>
          <w:sz w:val="36"/>
          <w:szCs w:val="36"/>
          <w:lang w:val="en-US" w:eastAsia="zh-CN"/>
        </w:rPr>
        <w:t>项目(皮肤、内分泌、呼吸系统疾病专项)申报指南</w:t>
      </w:r>
    </w:p>
    <w:p w14:paraId="2AC7F07F">
      <w:pPr>
        <w:spacing w:line="436" w:lineRule="auto"/>
        <w:rPr>
          <w:rFonts w:ascii="Arial"/>
          <w:sz w:val="21"/>
        </w:rPr>
      </w:pPr>
    </w:p>
    <w:p w14:paraId="0331B51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随着我国人口老龄化进程不断加速以及居民生活方式深刻变革，慢性疾病的发病谱系与疾病负担正发生显著变化，公众健康需求的不断提升，对当前医疗服务的深度与广度提出了新的挑战。在此背景下，成人特定感染性疾病的规范化治疗、慢性共病的管理优化以及常见呼吸系统疾病的精准防治，已成为提升全民健康水平、减轻社会医疗负担的关键。</w:t>
      </w:r>
    </w:p>
    <w:p w14:paraId="5FD764C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本专项旨在响应“健康中国 2030 ”规划纲要，聚焦于带状疱疹、糖尿病合并高尿酸血症以及呼吸系统疾病这三个存在显著未满足临床需求且相互关联的疾病领域，通过系统开展多维度临床研究，深入探索中成药在真实世界中的疗效优势以及新型化学药物在复杂人群中的应用策略，为建立规范化的诊疗与安全防控体系提供科学依据。</w:t>
      </w:r>
    </w:p>
    <w:p w14:paraId="3981574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snapToGrid/>
          <w:color w:val="auto"/>
          <w:spacing w:val="0"/>
          <w:sz w:val="32"/>
          <w:szCs w:val="32"/>
          <w:shd w:val="clear" w:fill="FFFFFF"/>
          <w:lang w:val="en-US" w:eastAsia="zh-CN"/>
        </w:rPr>
      </w:pPr>
      <w:r>
        <w:rPr>
          <w:rFonts w:hint="eastAsia" w:ascii="黑体" w:hAnsi="黑体" w:eastAsia="黑体" w:cs="黑体"/>
          <w:i w:val="0"/>
          <w:iCs w:val="0"/>
          <w:caps w:val="0"/>
          <w:snapToGrid/>
          <w:color w:val="auto"/>
          <w:spacing w:val="0"/>
          <w:sz w:val="32"/>
          <w:szCs w:val="32"/>
          <w:shd w:val="clear" w:fill="FFFFFF"/>
          <w:lang w:val="en-US" w:eastAsia="zh-CN"/>
        </w:rPr>
        <w:t>一、研究方向</w:t>
      </w:r>
    </w:p>
    <w:p w14:paraId="56D955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（一）重点项目</w:t>
      </w:r>
    </w:p>
    <w:p w14:paraId="29A957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1.皮肤疾病治疗药物方向—中成药在带状疱疹中的疗效与安全性分析</w:t>
      </w:r>
    </w:p>
    <w:p w14:paraId="30A00C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围绕苗医外用制剂—伤科灵喷雾剂，探索其在带状疱疹急性期与恢复期治疗中的临床应用价值。系统评估该药物在门诊与住院患者中联合常规抗病毒药物治疗的效果，评估其对患者皮损愈合进程（包括止疱时间、结痂时间、脱痂时间）的影响；研究该药物在不同疼痛程度、不同年龄人群中的镇痛起效时间与持续时间，评价其对带状疱疹后神经痛（PHN）发生的干预作用；探索该药物与不同镇痛药物、营养神经药物的联合使用方案，优化其在中西医结合治疗中的协同策略，提升皮损修复效率与疼痛控制效果，改善患者生活质量与治疗满意度。</w:t>
      </w:r>
    </w:p>
    <w:p w14:paraId="494D5E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2.内分泌疾病治疗药物方向—新型降糖药在糖尿病合并高尿酸血症的疗效分析</w:t>
      </w:r>
    </w:p>
    <w:p w14:paraId="72EEBBC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围绕新型降糖药—SGLT2抑制剂：脯氨酸加格列净，探索其对2型糖尿病合并高尿酸血症患者血尿酸的改善情况；分析该药物对肾功能（尿微量白蛋白、eGFR）以及代谢指标（如体重、糖化血红蛋白等）的影响；初步探索该药物在2型糖尿病合并高尿酸血症患者中的联合治疗策略，提升血尿酸管理的重视度和规范性。</w:t>
      </w:r>
    </w:p>
    <w:p w14:paraId="0E18BBB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（二）一般项目</w:t>
      </w:r>
    </w:p>
    <w:p w14:paraId="542C022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1.呼吸系统疾病治疗药物方向—中成药在慢性呼吸系统疾病的应用优化</w:t>
      </w:r>
    </w:p>
    <w:p w14:paraId="65EE4B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围绕经典中成药—固本咳喘颗粒，探索其在慢性呼吸系统疾病（慢性支气管炎、慢性阻塞性肺疾病）不同病程阶段（如疾病初期稳定巩固、反复发作后体质调理）的最佳用药时机、剂量调整策略；深入分析其与常规西药基础治疗方案（如支气管舒张剂、吸入激素）的协同作用，评估该药物对患者核心症状（咳嗽、咳痰、喘息）的改善程度，提升患者长期康复获益。</w:t>
      </w:r>
    </w:p>
    <w:p w14:paraId="3B456BA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snapToGrid/>
          <w:color w:val="auto"/>
          <w:spacing w:val="0"/>
          <w:sz w:val="32"/>
          <w:szCs w:val="32"/>
          <w:shd w:val="clear" w:fill="FFFFFF"/>
          <w:lang w:val="en-US" w:eastAsia="zh-CN"/>
        </w:rPr>
      </w:pPr>
      <w:r>
        <w:rPr>
          <w:rFonts w:hint="eastAsia" w:ascii="黑体" w:hAnsi="黑体" w:eastAsia="黑体" w:cs="黑体"/>
          <w:i w:val="0"/>
          <w:iCs w:val="0"/>
          <w:caps w:val="0"/>
          <w:snapToGrid/>
          <w:color w:val="auto"/>
          <w:spacing w:val="0"/>
          <w:sz w:val="32"/>
          <w:szCs w:val="32"/>
          <w:shd w:val="clear" w:fill="FFFFFF"/>
          <w:lang w:val="en-US" w:eastAsia="zh-CN"/>
        </w:rPr>
        <w:t>二、考核指标</w:t>
      </w:r>
    </w:p>
    <w:p w14:paraId="782F787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1.重点项目（多中心临床研究）</w:t>
      </w:r>
    </w:p>
    <w:p w14:paraId="7938D5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需至少发表 1 篇学术论文，论文需满足以下任一条件：①SCI 收录期刊论文；</w:t>
      </w:r>
    </w:p>
    <w:p w14:paraId="0CA0CF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②中文核心期刊论文（含北大核心、CSCD收录期刊。</w:t>
      </w:r>
    </w:p>
    <w:p w14:paraId="190F19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发表论文需以本项目为研究依托，标注项目来源于湖北江夏实验室。</w:t>
      </w:r>
    </w:p>
    <w:p w14:paraId="1DFA3F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2.一般项目（单中心临床研究）</w:t>
      </w:r>
    </w:p>
    <w:p w14:paraId="77C0AA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可选择以下形式之一完成考核指标要求：</w:t>
      </w:r>
    </w:p>
    <w:p w14:paraId="1E6676F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①在省级及以上公开发行的医学类期刊发表1 篇学术论文，论文需与本项目研究内容直接相关，并注明项目来源于湖北江夏实验室；</w:t>
      </w:r>
    </w:p>
    <w:p w14:paraId="638D0E8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②提交经湖北江夏实验室认可的研究总结报告，报告需包含详细的研究过程记录、关键临床数据（如药物剂量、疗效评价结果、不良反应记录）、研究总结与实践应用建议，且需附单位伦理审查意见及临床应用佐证材料（如病例汇总表、操作记录单）。</w:t>
      </w:r>
    </w:p>
    <w:p w14:paraId="0F6896B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snapToGrid/>
          <w:color w:val="auto"/>
          <w:spacing w:val="0"/>
          <w:sz w:val="32"/>
          <w:szCs w:val="32"/>
          <w:shd w:val="clear" w:fill="FFFFFF"/>
          <w:lang w:val="en-US" w:eastAsia="zh-CN"/>
        </w:rPr>
      </w:pPr>
      <w:r>
        <w:rPr>
          <w:rFonts w:hint="eastAsia" w:ascii="黑体" w:hAnsi="黑体" w:eastAsia="黑体" w:cs="黑体"/>
          <w:i w:val="0"/>
          <w:iCs w:val="0"/>
          <w:caps w:val="0"/>
          <w:snapToGrid/>
          <w:color w:val="auto"/>
          <w:spacing w:val="0"/>
          <w:sz w:val="32"/>
          <w:szCs w:val="32"/>
          <w:shd w:val="clear" w:fill="FFFFFF"/>
          <w:lang w:val="en-US" w:eastAsia="zh-CN"/>
        </w:rPr>
        <w:t>三、说明</w:t>
      </w:r>
    </w:p>
    <w:p w14:paraId="4DCAA2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重点项目拟支持 2 个项目，一般项目拟支持 1-2 个项目，申请单位按“2025年临床医学科研专项资金项目（皮肤、内分泌、呼吸系统疾病专项）申报工作的通知”的相关要求，根据本单位实际情况进行项目申报。</w:t>
      </w:r>
    </w:p>
    <w:p w14:paraId="5477A6E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p>
    <w:p w14:paraId="45F5605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湖北江夏实验室</w:t>
      </w:r>
    </w:p>
    <w:p w14:paraId="36105A0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snapToGrid/>
          <w:color w:val="auto"/>
          <w:spacing w:val="0"/>
          <w:sz w:val="32"/>
          <w:szCs w:val="32"/>
          <w:shd w:val="clear" w:fill="FFFFFF"/>
          <w:lang w:val="en-US" w:eastAsia="zh-CN"/>
        </w:rPr>
      </w:pPr>
      <w:r>
        <w:rPr>
          <w:rFonts w:hint="eastAsia" w:ascii="仿宋_GB2312" w:hAnsi="仿宋_GB2312" w:eastAsia="仿宋_GB2312" w:cs="仿宋_GB2312"/>
          <w:i w:val="0"/>
          <w:iCs w:val="0"/>
          <w:caps w:val="0"/>
          <w:snapToGrid/>
          <w:color w:val="auto"/>
          <w:spacing w:val="0"/>
          <w:sz w:val="32"/>
          <w:szCs w:val="32"/>
          <w:shd w:val="clear" w:fill="FFFFFF"/>
          <w:lang w:val="en-US" w:eastAsia="zh-CN"/>
        </w:rPr>
        <w:t>2025 年 11 月 20 日</w:t>
      </w:r>
    </w:p>
    <w:sectPr>
      <w:pgSz w:w="11906" w:h="16839"/>
      <w:pgMar w:top="1240" w:right="1785" w:bottom="144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24446A"/>
    <w:rsid w:val="37452A6B"/>
    <w:rsid w:val="59DF04E5"/>
    <w:rsid w:val="660A19D7"/>
    <w:rsid w:val="744D3D5F"/>
    <w:rsid w:val="770A1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1410</Words>
  <Characters>1447</Characters>
  <TotalTime>7</TotalTime>
  <ScaleCrop>false</ScaleCrop>
  <LinksUpToDate>false</LinksUpToDate>
  <CharactersWithSpaces>1462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2025-11-13T15:04:00Z</dcterms:created>
  <dc:creator>淼</dc:creator>
  <cp:lastModifiedBy>WPS_1180920757</cp:lastModifiedBy>
  <dcterms:modified xsi:type="dcterms:W3CDTF">2025-11-19T06:17:56Z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2025-11-14T09:14:34Z</vt:filetime>
  </property>
  <property fmtid="{D5CDD505-2E9C-101B-9397-08002B2CF9AE}" pid="4" name="KSOTemplateDocerSaveRecord">
    <vt:lpwstr>eyJoZGlkIjoiZDcyYWU1NWVlOGFjODlhNGQyMmU4MThmYTAzNzVjOGIiLCJ1c2VySWQiOiIxMTgwOTIwNzU3In0=</vt:lpwstr>
  </property>
  <property fmtid="{D5CDD505-2E9C-101B-9397-08002B2CF9AE}" pid="5" name="KSOProductBuildVer">
    <vt:lpwstr>2052-12.1.0.23542</vt:lpwstr>
  </property>
  <property fmtid="{D5CDD505-2E9C-101B-9397-08002B2CF9AE}" pid="6" name="ICV">
    <vt:lpwstr>82E534C2252D4DF3A2B0C457429E1ED4_13</vt:lpwstr>
  </property>
</Properties>
</file>